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5812" w:rsidR="00A75812" w:rsidP="00A75812" w:rsidRDefault="00A75812" w14:paraId="74772BF3" w14:textId="77777777">
      <w:pPr>
        <w:spacing w:line="360" w:lineRule="auto"/>
        <w:ind w:left="-5"/>
        <w:rPr>
          <w:rFonts w:ascii="Times New Roman" w:hAnsi="Times New Roman" w:cs="Times New Roman"/>
          <w:sz w:val="24"/>
          <w:szCs w:val="24"/>
        </w:rPr>
      </w:pPr>
    </w:p>
    <w:p w:rsidR="00A75812" w:rsidP="00A75812" w:rsidRDefault="00A75812" w14:paraId="4E436677" w14:textId="1B9D55FB">
      <w:pPr>
        <w:spacing w:line="360" w:lineRule="auto"/>
        <w:ind w:left="-5"/>
        <w:jc w:val="right"/>
        <w:rPr>
          <w:rFonts w:ascii="Times New Roman" w:hAnsi="Times New Roman" w:cs="Times New Roman"/>
          <w:sz w:val="24"/>
          <w:szCs w:val="24"/>
        </w:rPr>
      </w:pPr>
      <w:r>
        <w:rPr>
          <w:rFonts w:ascii="Times New Roman" w:hAnsi="Times New Roman" w:cs="Times New Roman"/>
          <w:sz w:val="24"/>
          <w:szCs w:val="24"/>
        </w:rPr>
        <w:t xml:space="preserve">July </w:t>
      </w:r>
      <w:r w:rsidRPr="00A75812">
        <w:rPr>
          <w:rFonts w:ascii="Times New Roman" w:hAnsi="Times New Roman" w:cs="Times New Roman"/>
          <w:sz w:val="24"/>
          <w:szCs w:val="24"/>
          <w:highlight w:val="yellow"/>
        </w:rPr>
        <w:t>XX</w:t>
      </w:r>
      <w:r>
        <w:rPr>
          <w:rFonts w:ascii="Times New Roman" w:hAnsi="Times New Roman" w:cs="Times New Roman"/>
          <w:sz w:val="24"/>
          <w:szCs w:val="24"/>
        </w:rPr>
        <w:t>, 2023</w:t>
      </w:r>
    </w:p>
    <w:p w:rsidR="00A75812" w:rsidP="00A75812" w:rsidRDefault="00A75812" w14:paraId="527C634F" w14:textId="77777777">
      <w:pPr>
        <w:spacing w:line="360" w:lineRule="auto"/>
        <w:ind w:left="-5"/>
        <w:rPr>
          <w:rFonts w:ascii="Times New Roman" w:hAnsi="Times New Roman" w:cs="Times New Roman"/>
          <w:sz w:val="24"/>
          <w:szCs w:val="24"/>
        </w:rPr>
      </w:pPr>
    </w:p>
    <w:p w:rsidRPr="00A75812" w:rsidR="00A75812" w:rsidP="00A75812" w:rsidRDefault="00A75812" w14:paraId="5B45E859" w14:textId="0ABEBD9A">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Honorable Representative </w:t>
      </w:r>
      <w:r w:rsidRPr="00A75812">
        <w:rPr>
          <w:rFonts w:ascii="Times New Roman" w:hAnsi="Times New Roman" w:cs="Times New Roman"/>
          <w:sz w:val="24"/>
          <w:szCs w:val="24"/>
        </w:rPr>
        <w:t>Jeremy Faison</w:t>
      </w:r>
      <w:r>
        <w:rPr>
          <w:rFonts w:ascii="Times New Roman" w:hAnsi="Times New Roman" w:cs="Times New Roman"/>
          <w:sz w:val="24"/>
          <w:szCs w:val="24"/>
        </w:rPr>
        <w:br/>
      </w:r>
      <w:r w:rsidRPr="00A75812">
        <w:rPr>
          <w:rFonts w:ascii="Times New Roman" w:hAnsi="Times New Roman" w:cs="Times New Roman"/>
          <w:sz w:val="24"/>
          <w:szCs w:val="24"/>
        </w:rPr>
        <w:t xml:space="preserve">425 Rep. John Lewis Way North, Suite 604, </w:t>
      </w:r>
      <w:r>
        <w:rPr>
          <w:rFonts w:ascii="Times New Roman" w:hAnsi="Times New Roman" w:cs="Times New Roman"/>
          <w:sz w:val="24"/>
          <w:szCs w:val="24"/>
        </w:rPr>
        <w:br/>
      </w:r>
      <w:r w:rsidRPr="00A75812">
        <w:rPr>
          <w:rFonts w:ascii="Times New Roman" w:hAnsi="Times New Roman" w:cs="Times New Roman"/>
          <w:sz w:val="24"/>
          <w:szCs w:val="24"/>
        </w:rPr>
        <w:t>Nashville, TN 37243</w:t>
      </w:r>
    </w:p>
    <w:p w:rsidR="00A75812" w:rsidP="00A75812" w:rsidRDefault="00A75812" w14:paraId="39544E72" w14:textId="77777777">
      <w:pPr>
        <w:spacing w:line="360" w:lineRule="auto"/>
        <w:ind w:left="-5"/>
        <w:rPr>
          <w:rFonts w:ascii="Times New Roman" w:hAnsi="Times New Roman" w:cs="Times New Roman"/>
          <w:sz w:val="24"/>
          <w:szCs w:val="24"/>
        </w:rPr>
      </w:pPr>
    </w:p>
    <w:p w:rsidRPr="00A75812" w:rsidR="00A75812" w:rsidP="00A75812" w:rsidRDefault="00A75812" w14:paraId="6DA032AE" w14:textId="4B0EED44">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Dear Rep. Faison, </w:t>
      </w:r>
      <w:r w:rsidR="004B74B8">
        <w:rPr>
          <w:rFonts w:ascii="Times New Roman" w:hAnsi="Times New Roman" w:cs="Times New Roman"/>
          <w:sz w:val="24"/>
          <w:szCs w:val="24"/>
        </w:rPr>
        <w:br/>
      </w:r>
    </w:p>
    <w:p w:rsidR="00DA7A58" w:rsidP="00DA7A58" w:rsidRDefault="00A75812" w14:paraId="75FF961B" w14:textId="11A96BA0">
      <w:pPr>
        <w:spacing w:line="360" w:lineRule="auto"/>
        <w:ind w:firstLine="720"/>
        <w:rPr>
          <w:rFonts w:ascii="Times New Roman" w:hAnsi="Times New Roman" w:cs="Times New Roman"/>
          <w:sz w:val="24"/>
          <w:szCs w:val="24"/>
        </w:rPr>
      </w:pPr>
      <w:r>
        <w:rPr>
          <w:rFonts w:ascii="Times New Roman" w:hAnsi="Times New Roman" w:cs="Times New Roman"/>
          <w:sz w:val="24"/>
          <w:szCs w:val="24"/>
        </w:rPr>
        <w:t>I am a voter, constituent, and supporter of Gun Owners of America (GOA). I am writing to you to let you know of my and GOA’s opposition to any</w:t>
      </w:r>
      <w:r w:rsidR="004B74B8">
        <w:rPr>
          <w:rFonts w:ascii="Times New Roman" w:hAnsi="Times New Roman" w:cs="Times New Roman"/>
          <w:sz w:val="24"/>
          <w:szCs w:val="24"/>
        </w:rPr>
        <w:t xml:space="preserve"> and all</w:t>
      </w:r>
      <w:r>
        <w:rPr>
          <w:rFonts w:ascii="Times New Roman" w:hAnsi="Times New Roman" w:cs="Times New Roman"/>
          <w:sz w:val="24"/>
          <w:szCs w:val="24"/>
        </w:rPr>
        <w:t xml:space="preserve"> so-called “extreme risk protection order” or red flag law disguised as a “mental health” bill. As the attached Fact Sheet from GOA explains, these measures, in any form, fail to stop tragedies. </w:t>
      </w:r>
      <w:r w:rsidR="00DA7A58">
        <w:rPr>
          <w:rFonts w:ascii="Times New Roman" w:hAnsi="Times New Roman" w:cs="Times New Roman"/>
          <w:sz w:val="24"/>
          <w:szCs w:val="24"/>
        </w:rPr>
        <w:t xml:space="preserve">This Fact Sheet can also be found online here: </w:t>
      </w:r>
      <w:r w:rsidRPr="004B74B8" w:rsidR="004B74B8">
        <w:rPr>
          <w:rFonts w:ascii="Times New Roman" w:hAnsi="Times New Roman" w:cs="Times New Roman"/>
          <w:sz w:val="24"/>
          <w:szCs w:val="24"/>
        </w:rPr>
        <w:t>https://www.gunowners.org/red-flag-laws-will-not-save-lives/</w:t>
      </w:r>
    </w:p>
    <w:p w:rsidR="00DA7A58" w:rsidP="00A75812" w:rsidRDefault="00DA7A58" w14:paraId="39070BB3" w14:textId="77777777">
      <w:pPr>
        <w:spacing w:line="360" w:lineRule="auto"/>
        <w:rPr>
          <w:rFonts w:ascii="Times New Roman" w:hAnsi="Times New Roman" w:cs="Times New Roman"/>
          <w:sz w:val="24"/>
          <w:szCs w:val="24"/>
        </w:rPr>
      </w:pPr>
    </w:p>
    <w:p w:rsidR="00A75812" w:rsidP="00DA7A58" w:rsidRDefault="00A75812" w14:paraId="560D04C1" w14:textId="1FFC8166">
      <w:pPr>
        <w:spacing w:line="360" w:lineRule="auto"/>
        <w:ind w:firstLine="720"/>
        <w:rPr>
          <w:rFonts w:ascii="Times New Roman" w:hAnsi="Times New Roman" w:cs="Times New Roman"/>
          <w:sz w:val="24"/>
          <w:szCs w:val="24"/>
        </w:rPr>
      </w:pPr>
      <w:r w:rsidRPr="4D58189C" w:rsidR="00A75812">
        <w:rPr>
          <w:rFonts w:ascii="Times New Roman" w:hAnsi="Times New Roman" w:cs="Times New Roman"/>
          <w:sz w:val="24"/>
          <w:szCs w:val="24"/>
        </w:rPr>
        <w:t xml:space="preserve">I urge you to oppose all </w:t>
      </w:r>
      <w:r w:rsidRPr="4D58189C" w:rsidR="00A75812">
        <w:rPr>
          <w:rFonts w:ascii="Times New Roman" w:hAnsi="Times New Roman" w:cs="Times New Roman"/>
          <w:sz w:val="24"/>
          <w:szCs w:val="24"/>
        </w:rPr>
        <w:t>so-called “extreme risk protection order</w:t>
      </w:r>
      <w:r w:rsidRPr="4D58189C" w:rsidR="00A75812">
        <w:rPr>
          <w:rFonts w:ascii="Times New Roman" w:hAnsi="Times New Roman" w:cs="Times New Roman"/>
          <w:sz w:val="24"/>
          <w:szCs w:val="24"/>
        </w:rPr>
        <w:t>”</w:t>
      </w:r>
      <w:r w:rsidRPr="4D58189C" w:rsidR="00A75812">
        <w:rPr>
          <w:rFonts w:ascii="Times New Roman" w:hAnsi="Times New Roman" w:cs="Times New Roman"/>
          <w:sz w:val="24"/>
          <w:szCs w:val="24"/>
        </w:rPr>
        <w:t xml:space="preserve"> and to instead act to restore Second Amendment freedoms.</w:t>
      </w:r>
      <w:r w:rsidRPr="4D58189C" w:rsidR="00E63216">
        <w:rPr>
          <w:rFonts w:ascii="Times New Roman" w:hAnsi="Times New Roman" w:cs="Times New Roman"/>
          <w:sz w:val="24"/>
          <w:szCs w:val="24"/>
        </w:rPr>
        <w:t xml:space="preserve"> While GOA will keep me informed, I am eager to know where you stand on this matter.</w:t>
      </w:r>
    </w:p>
    <w:p w:rsidR="00A75812" w:rsidP="00A75812" w:rsidRDefault="00A75812" w14:paraId="5AC44158" w14:textId="77777777">
      <w:pPr>
        <w:spacing w:line="360" w:lineRule="auto"/>
        <w:rPr>
          <w:rFonts w:ascii="Times New Roman" w:hAnsi="Times New Roman" w:cs="Times New Roman"/>
          <w:sz w:val="24"/>
          <w:szCs w:val="24"/>
        </w:rPr>
      </w:pPr>
    </w:p>
    <w:p w:rsidRPr="00A75812" w:rsidR="00A75812" w:rsidP="00A75812" w:rsidRDefault="00A75812" w14:paraId="794D1662" w14:textId="57587C1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Sincerely, </w:t>
      </w:r>
    </w:p>
    <w:p w:rsidR="00A75812" w:rsidP="00A75812" w:rsidRDefault="00A75812" w14:paraId="566604B0" w14:textId="77777777">
      <w:pPr>
        <w:spacing w:line="360" w:lineRule="auto"/>
        <w:ind w:left="-5"/>
        <w:jc w:val="center"/>
        <w:rPr>
          <w:rFonts w:ascii="Times New Roman" w:hAnsi="Times New Roman" w:cs="Times New Roman"/>
          <w:b/>
          <w:bCs/>
          <w:sz w:val="32"/>
          <w:szCs w:val="32"/>
        </w:rPr>
      </w:pPr>
    </w:p>
    <w:p w:rsidR="00A75812" w:rsidP="00A75812" w:rsidRDefault="00A75812" w14:paraId="70EA1A90" w14:textId="77777777">
      <w:pPr>
        <w:spacing w:line="360" w:lineRule="auto"/>
        <w:ind w:left="-5"/>
        <w:jc w:val="center"/>
        <w:rPr>
          <w:rFonts w:ascii="Times New Roman" w:hAnsi="Times New Roman" w:cs="Times New Roman"/>
          <w:b/>
          <w:bCs/>
          <w:sz w:val="32"/>
          <w:szCs w:val="32"/>
        </w:rPr>
      </w:pPr>
    </w:p>
    <w:p w:rsidR="00A75812" w:rsidRDefault="00A75812" w14:paraId="6F65C5A8" w14:textId="7777777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Pr="00A75812" w:rsidR="00A75812" w:rsidP="00A75812" w:rsidRDefault="00A75812" w14:paraId="7FC7C64C" w14:textId="296A55AE">
      <w:pPr>
        <w:spacing w:line="360" w:lineRule="auto"/>
        <w:ind w:left="-5"/>
        <w:jc w:val="center"/>
        <w:rPr>
          <w:rFonts w:ascii="Times New Roman" w:hAnsi="Times New Roman" w:cs="Times New Roman"/>
          <w:b/>
          <w:bCs/>
          <w:sz w:val="32"/>
          <w:szCs w:val="32"/>
        </w:rPr>
      </w:pPr>
      <w:r w:rsidRPr="00A75812">
        <w:rPr>
          <w:rFonts w:ascii="Times New Roman" w:hAnsi="Times New Roman" w:cs="Times New Roman"/>
          <w:b/>
          <w:bCs/>
          <w:sz w:val="32"/>
          <w:szCs w:val="32"/>
        </w:rPr>
        <w:t>“Red Flag” Laws Will Not Save Lives</w:t>
      </w:r>
    </w:p>
    <w:p w:rsidRPr="00ED251B" w:rsidR="00A75812" w:rsidP="00A75812" w:rsidRDefault="00A75812" w14:paraId="2E0F57F5" w14:textId="77777777">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“Red Flag” Gun Confiscation Orders (GCOs), also known as Extreme Risk Protection Orders, are an objectively ineffective proposal in the wake of mass public shootings. A study on the effectiveness of “Red Flag” GCOs, conducted in 2018 using data from 13 states for a combined total of 36 years, found that </w:t>
      </w:r>
      <w:r w:rsidRPr="00ED251B">
        <w:rPr>
          <w:rFonts w:ascii="Times New Roman" w:hAnsi="Times New Roman" w:cs="Times New Roman"/>
          <w:b/>
          <w:bCs/>
          <w:sz w:val="20"/>
          <w:szCs w:val="20"/>
        </w:rPr>
        <w:t>“Red Flag” Gun Confiscation Orders don’t reduce crime, don't reduce suicides, don't reduce murders, and don't reduce mass murders</w:t>
      </w:r>
      <w:r w:rsidRPr="00ED251B">
        <w:rPr>
          <w:rFonts w:ascii="Times New Roman" w:hAnsi="Times New Roman" w:cs="Times New Roman"/>
          <w:sz w:val="20"/>
          <w:szCs w:val="20"/>
        </w:rPr>
        <w:t xml:space="preserve">. </w:t>
      </w:r>
      <w:r w:rsidRPr="00ED251B">
        <w:rPr>
          <w:rStyle w:val="EndnoteReference"/>
          <w:rFonts w:ascii="Times New Roman" w:hAnsi="Times New Roman" w:cs="Times New Roman"/>
          <w:sz w:val="20"/>
          <w:szCs w:val="20"/>
        </w:rPr>
        <w:endnoteReference w:id="1"/>
      </w:r>
    </w:p>
    <w:p w:rsidRPr="00ED251B" w:rsidR="00A75812" w:rsidP="00A75812" w:rsidRDefault="00A75812" w14:paraId="1DAE1FB5" w14:textId="77777777">
      <w:pPr>
        <w:spacing w:after="240"/>
        <w:ind w:left="-5"/>
        <w:rPr>
          <w:rFonts w:ascii="Times New Roman" w:hAnsi="Times New Roman" w:cs="Times New Roman"/>
          <w:sz w:val="20"/>
          <w:szCs w:val="20"/>
        </w:rPr>
      </w:pPr>
      <w:r w:rsidRPr="00ED251B">
        <w:rPr>
          <w:rFonts w:ascii="Times New Roman" w:hAnsi="Times New Roman" w:cs="Times New Roman"/>
          <w:sz w:val="20"/>
          <w:szCs w:val="20"/>
        </w:rPr>
        <w:t>In fact, most mass shooters fall into one of two categories: (1) no “red flags” that something was wrong or (2) a governmental authority failed to act in any way, whether it be using ineffective “Red Flag” GCOs, the process of involuntary commitment for the mentally ill, or making a prosecutable arrest.</w:t>
      </w:r>
    </w:p>
    <w:p w:rsidRPr="00ED251B" w:rsidR="00A75812" w:rsidP="00A75812" w:rsidRDefault="00A75812" w14:paraId="3C032418" w14:textId="77777777">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Some of the </w:t>
      </w:r>
      <w:r w:rsidRPr="00ED251B">
        <w:rPr>
          <w:rFonts w:ascii="Times New Roman" w:hAnsi="Times New Roman" w:cs="Times New Roman"/>
          <w:i/>
          <w:iCs/>
          <w:sz w:val="20"/>
          <w:szCs w:val="20"/>
        </w:rPr>
        <w:t>failures</w:t>
      </w:r>
      <w:r w:rsidRPr="00ED251B">
        <w:rPr>
          <w:rFonts w:ascii="Times New Roman" w:hAnsi="Times New Roman" w:cs="Times New Roman"/>
          <w:sz w:val="20"/>
          <w:szCs w:val="20"/>
        </w:rPr>
        <w:t xml:space="preserve"> of “Red Flag” GCOs can be seen in recent high-profile shootings such as:</w:t>
      </w:r>
    </w:p>
    <w:p w:rsidRPr="00F51B14" w:rsidR="00A75812" w:rsidP="00A75812" w:rsidRDefault="00A75812" w14:paraId="5F8C6F2E" w14:textId="77777777">
      <w:pPr>
        <w:numPr>
          <w:ilvl w:val="0"/>
          <w:numId w:val="1"/>
        </w:numPr>
        <w:spacing w:line="276" w:lineRule="auto"/>
        <w:ind w:left="360" w:right="-90" w:hanging="270"/>
        <w:rPr>
          <w:rFonts w:ascii="Times New Roman" w:hAnsi="Times New Roman" w:cs="Times New Roman"/>
          <w:sz w:val="20"/>
          <w:szCs w:val="20"/>
        </w:rPr>
      </w:pPr>
      <w:r>
        <w:rPr>
          <w:rFonts w:ascii="Times New Roman" w:hAnsi="Times New Roman" w:cs="Times New Roman"/>
          <w:b/>
          <w:bCs/>
          <w:sz w:val="20"/>
          <w:szCs w:val="20"/>
        </w:rPr>
        <w:t>Buffalo, New York</w:t>
      </w:r>
      <w:r w:rsidRPr="00ED251B">
        <w:rPr>
          <w:rFonts w:ascii="Times New Roman" w:hAnsi="Times New Roman" w:cs="Times New Roman"/>
          <w:sz w:val="20"/>
          <w:szCs w:val="20"/>
        </w:rPr>
        <w:t xml:space="preserve"> (202</w:t>
      </w:r>
      <w:r>
        <w:rPr>
          <w:rFonts w:ascii="Times New Roman" w:hAnsi="Times New Roman" w:cs="Times New Roman"/>
          <w:sz w:val="20"/>
          <w:szCs w:val="20"/>
        </w:rPr>
        <w:t>2</w:t>
      </w:r>
      <w:r w:rsidRPr="00ED251B">
        <w:rPr>
          <w:rFonts w:ascii="Times New Roman" w:hAnsi="Times New Roman" w:cs="Times New Roman"/>
          <w:sz w:val="20"/>
          <w:szCs w:val="20"/>
        </w:rPr>
        <w:t xml:space="preserve">), </w:t>
      </w:r>
      <w:r>
        <w:rPr>
          <w:rFonts w:ascii="Times New Roman" w:hAnsi="Times New Roman" w:cs="Times New Roman"/>
          <w:sz w:val="20"/>
          <w:szCs w:val="20"/>
        </w:rPr>
        <w:t>New York has the strongest “red flag” laws in the nation, allowing doctors to violate patient confidentiality to have guns seized. Police referred the future mass murderer for psychiatric evaluation. The law failed, he was not disarmed, and he went on to murder 10 in a grocery store a year later.</w:t>
      </w:r>
      <w:r>
        <w:rPr>
          <w:rStyle w:val="EndnoteReference"/>
          <w:rFonts w:ascii="Times New Roman" w:hAnsi="Times New Roman" w:cs="Times New Roman"/>
          <w:sz w:val="20"/>
          <w:szCs w:val="20"/>
        </w:rPr>
        <w:endnoteReference w:id="2"/>
      </w:r>
    </w:p>
    <w:p w:rsidRPr="00ED251B" w:rsidR="00A75812" w:rsidP="00A75812" w:rsidRDefault="00A75812" w14:paraId="299215F9"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Boulder, Colorado</w:t>
      </w:r>
      <w:r w:rsidRPr="00ED251B">
        <w:rPr>
          <w:rFonts w:ascii="Times New Roman" w:hAnsi="Times New Roman" w:cs="Times New Roman"/>
          <w:sz w:val="20"/>
          <w:szCs w:val="20"/>
        </w:rPr>
        <w:t xml:space="preserve"> (2021), the future murderer displayed violent impulses, including repeatedly punching a classmate in the head. An acquaintance described how the future shooter “would talk about him being Muslim and how if anybody tried anything, he would file a hate crime and say they were making it up.</w:t>
      </w:r>
      <w:r>
        <w:rPr>
          <w:rFonts w:ascii="Times New Roman" w:hAnsi="Times New Roman" w:cs="Times New Roman"/>
          <w:sz w:val="20"/>
          <w:szCs w:val="20"/>
        </w:rPr>
        <w:t>”</w:t>
      </w:r>
      <w:r>
        <w:rPr>
          <w:rStyle w:val="EndnoteReference"/>
          <w:rFonts w:ascii="Times New Roman" w:hAnsi="Times New Roman" w:cs="Times New Roman"/>
          <w:sz w:val="20"/>
          <w:szCs w:val="20"/>
        </w:rPr>
        <w:endnoteReference w:id="3"/>
      </w:r>
    </w:p>
    <w:p w:rsidRPr="00ED251B" w:rsidR="00A75812" w:rsidP="00A75812" w:rsidRDefault="00A75812" w14:paraId="6461B843"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 xml:space="preserve">Indianapolis, Indiana </w:t>
      </w:r>
      <w:r w:rsidRPr="00ED251B">
        <w:rPr>
          <w:rFonts w:ascii="Times New Roman" w:hAnsi="Times New Roman" w:cs="Times New Roman"/>
          <w:sz w:val="20"/>
          <w:szCs w:val="20"/>
        </w:rPr>
        <w:t xml:space="preserve">(2021), police confiscated the future murderer’s shotgun without a warrant </w:t>
      </w:r>
      <w:r>
        <w:rPr>
          <w:rFonts w:ascii="Times New Roman" w:hAnsi="Times New Roman" w:cs="Times New Roman"/>
          <w:sz w:val="20"/>
          <w:szCs w:val="20"/>
        </w:rPr>
        <w:t>and</w:t>
      </w:r>
      <w:r w:rsidRPr="00ED251B">
        <w:rPr>
          <w:rFonts w:ascii="Times New Roman" w:hAnsi="Times New Roman" w:cs="Times New Roman"/>
          <w:sz w:val="20"/>
          <w:szCs w:val="20"/>
        </w:rPr>
        <w:t xml:space="preserve"> failed to fill out “red flag” gun confiscation paperwork, allowing him to legally purchase new firearms</w:t>
      </w:r>
      <w:r>
        <w:rPr>
          <w:rFonts w:ascii="Times New Roman" w:hAnsi="Times New Roman" w:cs="Times New Roman"/>
          <w:sz w:val="20"/>
          <w:szCs w:val="20"/>
        </w:rPr>
        <w:t xml:space="preserve"> at a later date.</w:t>
      </w:r>
      <w:r w:rsidRPr="00ED251B">
        <w:rPr>
          <w:rStyle w:val="EndnoteReference"/>
          <w:rFonts w:ascii="Times New Roman" w:hAnsi="Times New Roman" w:cs="Times New Roman"/>
          <w:sz w:val="20"/>
          <w:szCs w:val="20"/>
        </w:rPr>
        <w:endnoteReference w:id="4"/>
      </w:r>
    </w:p>
    <w:p w:rsidRPr="00ED251B" w:rsidR="00A75812" w:rsidP="00A75812" w:rsidRDefault="00A75812" w14:paraId="13E6D522"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Jacksonville, Florida</w:t>
      </w:r>
      <w:r w:rsidRPr="00ED251B">
        <w:rPr>
          <w:rFonts w:ascii="Times New Roman" w:hAnsi="Times New Roman" w:cs="Times New Roman"/>
          <w:sz w:val="20"/>
          <w:szCs w:val="20"/>
        </w:rPr>
        <w:t xml:space="preserve"> (2019), when “Red Flag” GCOs in both Florida and Maryland failed to disarm a future murderer whose mother called the police on him “about 20 times,” who was involuntary committed six times, and was on “antipsychotic medications.</w:t>
      </w:r>
      <w:r w:rsidRPr="00ED251B">
        <w:rPr>
          <w:rStyle w:val="EndnoteReference"/>
          <w:rFonts w:ascii="Times New Roman" w:hAnsi="Times New Roman" w:cs="Times New Roman"/>
          <w:sz w:val="20"/>
          <w:szCs w:val="20"/>
        </w:rPr>
        <w:t>”</w:t>
      </w:r>
      <w:r w:rsidRPr="00ED251B">
        <w:rPr>
          <w:rStyle w:val="EndnoteReference"/>
          <w:rFonts w:ascii="Times New Roman" w:hAnsi="Times New Roman" w:cs="Times New Roman"/>
          <w:sz w:val="20"/>
          <w:szCs w:val="20"/>
        </w:rPr>
        <w:endnoteReference w:id="5"/>
      </w:r>
    </w:p>
    <w:p w:rsidRPr="00ED251B" w:rsidR="00A75812" w:rsidP="00A75812" w:rsidRDefault="00A75812" w14:paraId="198B3752"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Parkland, Florida</w:t>
      </w:r>
      <w:r w:rsidRPr="00ED251B">
        <w:rPr>
          <w:rFonts w:ascii="Times New Roman" w:hAnsi="Times New Roman" w:cs="Times New Roman"/>
          <w:sz w:val="20"/>
          <w:szCs w:val="20"/>
        </w:rPr>
        <w:t xml:space="preserve"> (2018), where a GCO would have been ineffective because the family defended the murderer’s emotional state to authorities during the dozens of times he was investigated prior to the attack. Each time he was reported as “low risk” despite police ability to arrest him on several counts.</w:t>
      </w:r>
      <w:r w:rsidRPr="00ED251B">
        <w:rPr>
          <w:rStyle w:val="EndnoteReference"/>
          <w:rFonts w:ascii="Times New Roman" w:hAnsi="Times New Roman" w:cs="Times New Roman"/>
          <w:sz w:val="20"/>
          <w:szCs w:val="20"/>
        </w:rPr>
        <w:endnoteReference w:id="6"/>
      </w:r>
    </w:p>
    <w:p w:rsidRPr="00ED251B" w:rsidR="00A75812" w:rsidP="00A75812" w:rsidRDefault="00A75812" w14:paraId="0CD60096"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Aurora, Illinois</w:t>
      </w:r>
      <w:r w:rsidRPr="00ED251B">
        <w:rPr>
          <w:rFonts w:ascii="Times New Roman" w:hAnsi="Times New Roman" w:cs="Times New Roman"/>
          <w:sz w:val="20"/>
          <w:szCs w:val="20"/>
        </w:rPr>
        <w:t xml:space="preserve"> (2019), where state-level Universal Background Checks, Firearm Owner ID cards, “Red Flag” GCOs, and the NICS system failed to stop a “depressed” man with an aggravated assault conviction from purchasing and possessing firearms and later murdering his coworkers.</w:t>
      </w:r>
      <w:r w:rsidRPr="00ED251B">
        <w:rPr>
          <w:rStyle w:val="EndnoteReference"/>
          <w:rFonts w:ascii="Times New Roman" w:hAnsi="Times New Roman" w:cs="Times New Roman"/>
          <w:sz w:val="20"/>
          <w:szCs w:val="20"/>
        </w:rPr>
        <w:endnoteReference w:id="7"/>
      </w:r>
    </w:p>
    <w:p w:rsidRPr="00ED251B" w:rsidR="00A75812" w:rsidP="00A75812" w:rsidRDefault="00A75812" w14:paraId="08E12C06"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 Bernardino, California</w:t>
      </w:r>
      <w:r w:rsidRPr="00ED251B">
        <w:rPr>
          <w:rFonts w:ascii="Times New Roman" w:hAnsi="Times New Roman" w:cs="Times New Roman"/>
          <w:sz w:val="20"/>
          <w:szCs w:val="20"/>
        </w:rPr>
        <w:t xml:space="preserve"> (2015), when, despite a 2014 GCO law, authorities ignored “red flags” like inclinations to jihad, martyrdom, and contact with terrorist recruiters.</w:t>
      </w:r>
      <w:r w:rsidRPr="00ED251B">
        <w:rPr>
          <w:rStyle w:val="EndnoteReference"/>
          <w:rFonts w:ascii="Times New Roman" w:hAnsi="Times New Roman" w:cs="Times New Roman"/>
          <w:sz w:val="20"/>
          <w:szCs w:val="20"/>
        </w:rPr>
        <w:endnoteReference w:id="8"/>
      </w:r>
    </w:p>
    <w:p w:rsidRPr="00ED251B" w:rsidR="00A75812" w:rsidP="00A75812" w:rsidRDefault="00A75812" w14:paraId="41629821"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Thousand Oaks, California</w:t>
      </w:r>
      <w:r w:rsidRPr="00ED251B">
        <w:rPr>
          <w:rFonts w:ascii="Times New Roman" w:hAnsi="Times New Roman" w:cs="Times New Roman"/>
          <w:sz w:val="20"/>
          <w:szCs w:val="20"/>
        </w:rPr>
        <w:t xml:space="preserve"> (2018), when, despite a mental health task force check-up and police considering a “Red Flag” GCO, authorities and gun control failed to stop the attack.</w:t>
      </w:r>
      <w:r w:rsidRPr="00ED251B">
        <w:rPr>
          <w:rStyle w:val="EndnoteReference"/>
          <w:rFonts w:ascii="Times New Roman" w:hAnsi="Times New Roman" w:cs="Times New Roman"/>
          <w:sz w:val="20"/>
          <w:szCs w:val="20"/>
        </w:rPr>
        <w:endnoteReference w:id="9"/>
      </w:r>
    </w:p>
    <w:p w:rsidRPr="00ED251B" w:rsidR="00A75812" w:rsidP="00A75812" w:rsidRDefault="00A75812" w14:paraId="7E72FB6F" w14:textId="77777777">
      <w:pPr>
        <w:spacing w:before="240" w:after="240" w:line="276" w:lineRule="auto"/>
        <w:ind w:left="90" w:right="-90"/>
        <w:rPr>
          <w:rFonts w:ascii="Times New Roman" w:hAnsi="Times New Roman" w:cs="Times New Roman"/>
          <w:sz w:val="20"/>
          <w:szCs w:val="20"/>
        </w:rPr>
      </w:pPr>
      <w:r w:rsidRPr="00ED251B">
        <w:rPr>
          <w:rFonts w:ascii="Times New Roman" w:hAnsi="Times New Roman" w:cs="Times New Roman"/>
          <w:sz w:val="20"/>
          <w:szCs w:val="20"/>
        </w:rPr>
        <w:t xml:space="preserve">Some recent high-profile </w:t>
      </w:r>
      <w:r w:rsidRPr="00ED251B">
        <w:rPr>
          <w:rFonts w:ascii="Times New Roman" w:hAnsi="Times New Roman" w:cs="Times New Roman"/>
          <w:i/>
          <w:iCs/>
          <w:sz w:val="20"/>
          <w:szCs w:val="20"/>
        </w:rPr>
        <w:t>shootings where there were</w:t>
      </w:r>
      <w:r w:rsidRPr="00ED251B">
        <w:rPr>
          <w:rFonts w:ascii="Times New Roman" w:hAnsi="Times New Roman" w:cs="Times New Roman"/>
          <w:sz w:val="20"/>
          <w:szCs w:val="20"/>
        </w:rPr>
        <w:t xml:space="preserve"> </w:t>
      </w:r>
      <w:r w:rsidRPr="00ED251B">
        <w:rPr>
          <w:rFonts w:ascii="Times New Roman" w:hAnsi="Times New Roman" w:cs="Times New Roman"/>
          <w:i/>
          <w:iCs/>
          <w:sz w:val="20"/>
          <w:szCs w:val="20"/>
        </w:rPr>
        <w:t xml:space="preserve">no “red flags” </w:t>
      </w:r>
      <w:r w:rsidRPr="00ED251B">
        <w:rPr>
          <w:rFonts w:ascii="Times New Roman" w:hAnsi="Times New Roman" w:cs="Times New Roman"/>
          <w:sz w:val="20"/>
          <w:szCs w:val="20"/>
        </w:rPr>
        <w:t>in the life of the shooter are:</w:t>
      </w:r>
    </w:p>
    <w:p w:rsidRPr="00ED251B" w:rsidR="00A75812" w:rsidP="00A75812" w:rsidRDefault="00A75812" w14:paraId="1C24BC2D"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Sebring, Florida</w:t>
      </w:r>
      <w:r w:rsidRPr="00ED251B">
        <w:rPr>
          <w:rFonts w:ascii="Times New Roman" w:hAnsi="Times New Roman" w:cs="Times New Roman"/>
          <w:sz w:val="20"/>
          <w:szCs w:val="20"/>
        </w:rPr>
        <w:t xml:space="preserve"> (2019), where several government-job related background checks and a $400 million gun control package from 2018, including GCOs, found no “red flags” to report to police.</w:t>
      </w:r>
      <w:r w:rsidRPr="00ED251B">
        <w:rPr>
          <w:rStyle w:val="EndnoteReference"/>
          <w:rFonts w:ascii="Times New Roman" w:hAnsi="Times New Roman" w:cs="Times New Roman"/>
          <w:sz w:val="20"/>
          <w:szCs w:val="20"/>
        </w:rPr>
        <w:endnoteReference w:id="10"/>
      </w:r>
    </w:p>
    <w:p w:rsidRPr="00ED251B" w:rsidR="00A75812" w:rsidP="00A75812" w:rsidRDefault="00A75812" w14:paraId="4853BEB9"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El Paso, Texas</w:t>
      </w:r>
      <w:r w:rsidRPr="00ED251B">
        <w:rPr>
          <w:rFonts w:ascii="Times New Roman" w:hAnsi="Times New Roman" w:cs="Times New Roman"/>
          <w:sz w:val="20"/>
          <w:szCs w:val="20"/>
        </w:rPr>
        <w:t xml:space="preserve"> (2019), where Governor Abbot said “there were no red flags” about the shooter who waited until moments before the attack to publicly open up about his racism and hateful beliefs. </w:t>
      </w:r>
      <w:r w:rsidRPr="00ED251B">
        <w:rPr>
          <w:rStyle w:val="EndnoteReference"/>
          <w:rFonts w:ascii="Times New Roman" w:hAnsi="Times New Roman" w:cs="Times New Roman"/>
          <w:sz w:val="20"/>
          <w:szCs w:val="20"/>
        </w:rPr>
        <w:endnoteReference w:id="11"/>
      </w:r>
    </w:p>
    <w:p w:rsidRPr="00ED251B" w:rsidR="00A75812" w:rsidP="00A75812" w:rsidRDefault="00A75812" w14:paraId="4FC897C6"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Santa Fe, Texas</w:t>
      </w:r>
      <w:r w:rsidRPr="00ED251B">
        <w:rPr>
          <w:rFonts w:ascii="Times New Roman" w:hAnsi="Times New Roman" w:cs="Times New Roman"/>
          <w:sz w:val="20"/>
          <w:szCs w:val="20"/>
        </w:rPr>
        <w:t xml:space="preserve"> (2018), where not only has Governor Abbott stated there were no “red flags” in the life of the school shooter, but the killer stole his weapons—meaning he would have evaded any gun control background check or “Red Flag” law designed to disarm him.</w:t>
      </w:r>
      <w:r w:rsidRPr="00ED251B">
        <w:rPr>
          <w:rStyle w:val="EndnoteReference"/>
          <w:rFonts w:ascii="Times New Roman" w:hAnsi="Times New Roman" w:cs="Times New Roman"/>
          <w:sz w:val="20"/>
          <w:szCs w:val="20"/>
        </w:rPr>
        <w:endnoteReference w:id="12"/>
      </w:r>
    </w:p>
    <w:p w:rsidRPr="00ED251B" w:rsidR="00A75812" w:rsidP="00A75812" w:rsidRDefault="00A75812" w14:paraId="5D73553A" w14:textId="77777777">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Gilroy, California</w:t>
      </w:r>
      <w:r w:rsidRPr="00ED251B">
        <w:rPr>
          <w:rFonts w:ascii="Times New Roman" w:hAnsi="Times New Roman" w:cs="Times New Roman"/>
          <w:sz w:val="20"/>
          <w:szCs w:val="20"/>
        </w:rPr>
        <w:t xml:space="preserve"> (2019), where despite a 2014 state-level “Red Flag” law, the murderer “showed no reasons for concern,” when purchasing a firearm. Listening to media reports, the shooter’s family initially worried that the shooter (their relative) had fallen victim—not that he was the perpetrator.</w:t>
      </w:r>
      <w:r w:rsidRPr="00ED251B">
        <w:rPr>
          <w:rStyle w:val="EndnoteReference"/>
          <w:rFonts w:ascii="Times New Roman" w:hAnsi="Times New Roman" w:cs="Times New Roman"/>
          <w:sz w:val="20"/>
          <w:szCs w:val="20"/>
        </w:rPr>
        <w:endnoteReference w:id="13"/>
      </w:r>
      <w:r w:rsidRPr="00ED251B">
        <w:rPr>
          <w:rFonts w:ascii="Times New Roman" w:hAnsi="Times New Roman" w:cs="Times New Roman"/>
          <w:b/>
          <w:bCs/>
          <w:sz w:val="20"/>
          <w:szCs w:val="20"/>
        </w:rPr>
        <w:t xml:space="preserve"> </w:t>
      </w:r>
    </w:p>
    <w:p w:rsidRPr="003D7EF4" w:rsidR="00A75812" w:rsidP="00A75812" w:rsidRDefault="00A75812" w14:paraId="2C998B28" w14:textId="77777777">
      <w:pPr>
        <w:numPr>
          <w:ilvl w:val="0"/>
          <w:numId w:val="1"/>
        </w:numPr>
        <w:spacing w:line="276" w:lineRule="auto"/>
        <w:ind w:left="360" w:right="-90" w:hanging="270"/>
        <w:rPr>
          <w:rFonts w:ascii="Times New Roman" w:hAnsi="Times New Roman" w:cs="Times New Roman"/>
        </w:rPr>
      </w:pPr>
      <w:r w:rsidRPr="00ED251B">
        <w:rPr>
          <w:rFonts w:ascii="Times New Roman" w:hAnsi="Times New Roman" w:cs="Times New Roman"/>
          <w:b/>
          <w:bCs/>
          <w:sz w:val="20"/>
          <w:szCs w:val="20"/>
        </w:rPr>
        <w:t>Poway, California</w:t>
      </w:r>
      <w:r w:rsidRPr="00ED251B">
        <w:rPr>
          <w:rFonts w:ascii="Times New Roman" w:hAnsi="Times New Roman" w:cs="Times New Roman"/>
          <w:sz w:val="20"/>
          <w:szCs w:val="20"/>
        </w:rPr>
        <w:t xml:space="preserve"> (2019), a man who raised no “red flags” or had any prior run-in with law enforcement spent four weeks planning to shoot up a Synagogue despite state-level GCOs.</w:t>
      </w:r>
      <w:r w:rsidRPr="00ED251B">
        <w:rPr>
          <w:rStyle w:val="EndnoteReference"/>
          <w:rFonts w:ascii="Times New Roman" w:hAnsi="Times New Roman" w:cs="Times New Roman"/>
          <w:sz w:val="20"/>
          <w:szCs w:val="20"/>
        </w:rPr>
        <w:endnoteReference w:id="14"/>
      </w:r>
    </w:p>
    <w:p w:rsidR="00A75812" w:rsidRDefault="00A75812" w14:paraId="5391F966" w14:textId="77777777"/>
    <w:sectPr w:rsidR="00A75812" w:rsidSect="00A75812">
      <w:headerReference w:type="default" r:id="rId10"/>
      <w:footerReference w:type="default" r:id="rId11"/>
      <w:endnotePr>
        <w:numFmt w:val="decimal"/>
      </w:endnotePr>
      <w:pgSz w:w="12240" w:h="15840" w:orient="portrait"/>
      <w:pgMar w:top="540" w:right="1440" w:bottom="547" w:left="1440" w:header="54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358" w:rsidP="00A75812" w:rsidRDefault="003D7358" w14:paraId="78530B99" w14:textId="77777777">
      <w:r>
        <w:separator/>
      </w:r>
    </w:p>
  </w:endnote>
  <w:endnote w:type="continuationSeparator" w:id="0">
    <w:p w:rsidR="003D7358" w:rsidP="00A75812" w:rsidRDefault="003D7358" w14:paraId="47883CFD" w14:textId="77777777">
      <w:r>
        <w:continuationSeparator/>
      </w:r>
    </w:p>
  </w:endnote>
  <w:endnote w:id="1">
    <w:p w:rsidRPr="00E4694B" w:rsidR="00A75812" w:rsidP="00A75812" w:rsidRDefault="00A75812" w14:paraId="197C4564"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Lott, John R. and Moody, Carlisle E., </w:t>
      </w:r>
      <w:r w:rsidRPr="00E4694B">
        <w:rPr>
          <w:rFonts w:ascii="Times New Roman" w:hAnsi="Times New Roman" w:cs="Times New Roman"/>
          <w:i/>
        </w:rPr>
        <w:t>Do Red Flag Laws Save Lives or Reduce Crime?.</w:t>
      </w:r>
      <w:r w:rsidRPr="00E4694B">
        <w:rPr>
          <w:rFonts w:ascii="Times New Roman" w:hAnsi="Times New Roman" w:cs="Times New Roman"/>
        </w:rPr>
        <w:t xml:space="preserve"> College of William and Mary and Crime Prevention Research Center: 2018.</w:t>
      </w:r>
    </w:p>
  </w:endnote>
  <w:endnote w:id="2">
    <w:p w:rsidRPr="00E4694B" w:rsidR="00A75812" w:rsidP="00A75812" w:rsidRDefault="00A75812" w14:paraId="4F7EC839"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Specht, O’Brien. </w:t>
      </w:r>
      <w:r>
        <w:rPr>
          <w:rFonts w:ascii="Times New Roman" w:hAnsi="Times New Roman" w:cs="Times New Roman"/>
        </w:rPr>
        <w:t>“</w:t>
      </w:r>
      <w:r w:rsidRPr="00E4694B">
        <w:rPr>
          <w:rFonts w:ascii="Times New Roman" w:hAnsi="Times New Roman" w:cs="Times New Roman"/>
        </w:rPr>
        <w:t>Even in New York, 'red flags' don't always stop shooters.</w:t>
      </w:r>
      <w:r>
        <w:rPr>
          <w:rFonts w:ascii="Times New Roman" w:hAnsi="Times New Roman" w:cs="Times New Roman"/>
        </w:rPr>
        <w:t>”</w:t>
      </w:r>
      <w:r w:rsidRPr="00E4694B">
        <w:rPr>
          <w:rFonts w:ascii="Times New Roman" w:hAnsi="Times New Roman" w:cs="Times New Roman"/>
        </w:rPr>
        <w:t xml:space="preserve"> </w:t>
      </w:r>
      <w:r w:rsidRPr="00E4694B">
        <w:rPr>
          <w:rFonts w:ascii="Times New Roman" w:hAnsi="Times New Roman" w:cs="Times New Roman"/>
          <w:i/>
          <w:iCs/>
        </w:rPr>
        <w:t>The Buffalo News</w:t>
      </w:r>
      <w:r w:rsidRPr="00E4694B">
        <w:rPr>
          <w:rFonts w:ascii="Times New Roman" w:hAnsi="Times New Roman" w:cs="Times New Roman"/>
        </w:rPr>
        <w:t>. 2022.</w:t>
      </w:r>
    </w:p>
  </w:endnote>
  <w:endnote w:id="3">
    <w:p w:rsidRPr="00E4694B" w:rsidR="00A75812" w:rsidP="00A75812" w:rsidRDefault="00A75812" w14:paraId="4DD403B4"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Pagones. “Boulder Shooting Suspect Ahmad Al Aliwi Alissa: What We Know.” </w:t>
      </w:r>
      <w:r w:rsidRPr="00E4694B">
        <w:rPr>
          <w:rFonts w:ascii="Times New Roman" w:hAnsi="Times New Roman" w:cs="Times New Roman"/>
          <w:i/>
          <w:iCs/>
        </w:rPr>
        <w:t>Fox News.</w:t>
      </w:r>
    </w:p>
  </w:endnote>
  <w:endnote w:id="4">
    <w:p w:rsidRPr="00E4694B" w:rsidR="00A75812" w:rsidP="00A75812" w:rsidRDefault="00A75812" w14:paraId="599EF7CA"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Watkins, Robertson, and Martinez, “Indianapolis Police Chief Says Gunman Bought Weapons Legally Despite Earlier Warning.” </w:t>
      </w:r>
      <w:r w:rsidRPr="00E4694B">
        <w:rPr>
          <w:rFonts w:ascii="Times New Roman" w:hAnsi="Times New Roman" w:cs="Times New Roman"/>
          <w:i/>
          <w:iCs/>
        </w:rPr>
        <w:t>New York Times.</w:t>
      </w:r>
    </w:p>
  </w:endnote>
  <w:endnote w:id="5">
    <w:p w:rsidRPr="00E4694B" w:rsidR="00A75812" w:rsidP="00A75812" w:rsidRDefault="00A75812" w14:paraId="4294F3B3"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Amara. “Court Documents Shed New Light on Accused Jacksonville Mass Shooter.” </w:t>
      </w:r>
      <w:r w:rsidRPr="00E4694B">
        <w:rPr>
          <w:rFonts w:ascii="Times New Roman" w:hAnsi="Times New Roman" w:cs="Times New Roman"/>
          <w:i/>
          <w:iCs/>
        </w:rPr>
        <w:t>WBAL-TV 11 News.</w:t>
      </w:r>
    </w:p>
  </w:endnote>
  <w:endnote w:id="6">
    <w:p w:rsidRPr="00E4694B" w:rsidR="00A75812" w:rsidP="00A75812" w:rsidRDefault="00A75812" w14:paraId="6755E268" w14:textId="77777777">
      <w:pPr>
        <w:pStyle w:val="EndnoteText"/>
        <w:rPr>
          <w:rFonts w:ascii="Times New Roman" w:hAnsi="Times New Roman" w:cs="Times New Roman"/>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Devine and Pagliery. “Sheriff Says He Got 23 Calls About Shooter’s Family, but Records Show More.” </w:t>
      </w:r>
      <w:r w:rsidRPr="00E4694B">
        <w:rPr>
          <w:rFonts w:ascii="Times New Roman" w:hAnsi="Times New Roman" w:cs="Times New Roman"/>
          <w:i/>
        </w:rPr>
        <w:t>CNN.</w:t>
      </w:r>
      <w:r w:rsidRPr="00E4694B">
        <w:rPr>
          <w:rFonts w:ascii="Times New Roman" w:hAnsi="Times New Roman" w:cs="Times New Roman"/>
        </w:rPr>
        <w:t xml:space="preserve"> </w:t>
      </w:r>
      <w:r w:rsidRPr="00E4694B">
        <w:rPr>
          <w:rFonts w:ascii="Times New Roman" w:hAnsi="Times New Roman" w:cs="Times New Roman"/>
          <w:i/>
        </w:rPr>
        <w:t>Investigates</w:t>
      </w:r>
      <w:r w:rsidRPr="00E4694B">
        <w:rPr>
          <w:rFonts w:ascii="Times New Roman" w:hAnsi="Times New Roman" w:cs="Times New Roman"/>
          <w:iCs/>
        </w:rPr>
        <w:t xml:space="preserve">; Ovalle, Blaskey, Nehamas. “Shooter Could Have Faced Charges Before Massacre—Had Cops Done Their Job, Experts Say.” </w:t>
      </w:r>
      <w:r w:rsidRPr="00E4694B">
        <w:rPr>
          <w:rFonts w:ascii="Times New Roman" w:hAnsi="Times New Roman" w:cs="Times New Roman"/>
          <w:i/>
        </w:rPr>
        <w:t>Miami Herald.</w:t>
      </w:r>
    </w:p>
  </w:endnote>
  <w:endnote w:id="7">
    <w:p w:rsidRPr="00E4694B" w:rsidR="00A75812" w:rsidP="00A75812" w:rsidRDefault="00A75812" w14:paraId="64DB9B74"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Bradley. “Aurora Shooter’s FOID Card Was Revoked; Gun Never Confiscated.” </w:t>
      </w:r>
      <w:r w:rsidRPr="00E4694B">
        <w:rPr>
          <w:rFonts w:ascii="Times New Roman" w:hAnsi="Times New Roman" w:cs="Times New Roman"/>
          <w:i/>
          <w:iCs/>
        </w:rPr>
        <w:t>WGN9 News.</w:t>
      </w:r>
    </w:p>
  </w:endnote>
  <w:endnote w:id="8">
    <w:p w:rsidRPr="00E4694B" w:rsidR="00A75812" w:rsidP="00A75812" w:rsidRDefault="00A75812" w14:paraId="57E78BA7"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Melley, Blood, Meyers, Caldwell, Shahzad, Skoloff. “U.S. officials search for missed red flags ahead of San Bernardino shooting.” </w:t>
      </w:r>
      <w:r w:rsidRPr="00E4694B">
        <w:rPr>
          <w:rFonts w:ascii="Times New Roman" w:hAnsi="Times New Roman" w:cs="Times New Roman"/>
          <w:i/>
        </w:rPr>
        <w:t>Public Broadcasting Service News Hour.</w:t>
      </w:r>
    </w:p>
  </w:endnote>
  <w:endnote w:id="9">
    <w:p w:rsidRPr="00E4694B" w:rsidR="00A75812" w:rsidP="00A75812" w:rsidRDefault="00A75812" w14:paraId="68E56FB0"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“Report: Mental Health Team Chose Not to Commit Ian Long Earlier this Year.” </w:t>
      </w:r>
      <w:r w:rsidRPr="00E4694B">
        <w:rPr>
          <w:rFonts w:ascii="Times New Roman" w:hAnsi="Times New Roman" w:cs="Times New Roman"/>
          <w:i/>
        </w:rPr>
        <w:t>Breitbart News</w:t>
      </w:r>
      <w:r w:rsidRPr="00E4694B">
        <w:rPr>
          <w:rFonts w:ascii="Times New Roman" w:hAnsi="Times New Roman" w:cs="Times New Roman"/>
        </w:rPr>
        <w:t xml:space="preserve">; Wing. “California Has A Law That Might’ve Prevented The Thousand Oaks Shooting. It Wasn’t Used.” </w:t>
      </w:r>
      <w:r w:rsidRPr="00E4694B">
        <w:rPr>
          <w:rFonts w:ascii="Times New Roman" w:hAnsi="Times New Roman" w:cs="Times New Roman"/>
          <w:i/>
          <w:iCs/>
        </w:rPr>
        <w:t>Huffington Post.</w:t>
      </w:r>
    </w:p>
  </w:endnote>
  <w:endnote w:id="10">
    <w:p w:rsidRPr="00E4694B" w:rsidR="00A75812" w:rsidP="00A75812" w:rsidRDefault="00A75812" w14:paraId="44FAB3F7" w14:textId="77777777">
      <w:pPr>
        <w:pStyle w:val="EndnoteText"/>
        <w:rPr>
          <w:rFonts w:ascii="Times New Roman" w:hAnsi="Times New Roman" w:cs="Times New Roman"/>
          <w:i/>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“Gun Control Fail: Red Flag Law, Waiting Periods Fail to Stop Florida Bank Massacre.” </w:t>
      </w:r>
      <w:r w:rsidRPr="00E4694B">
        <w:rPr>
          <w:rFonts w:ascii="Times New Roman" w:hAnsi="Times New Roman" w:cs="Times New Roman"/>
          <w:i/>
        </w:rPr>
        <w:t>Breitbart News</w:t>
      </w:r>
      <w:r w:rsidRPr="00E4694B">
        <w:rPr>
          <w:rFonts w:ascii="Times New Roman" w:hAnsi="Times New Roman" w:cs="Times New Roman"/>
          <w:iCs/>
        </w:rPr>
        <w:t xml:space="preserve">; LaGrone. “Florida’s Prison Department Was Unaware of Zephen Xaver’s Questionable Army Stint Prior to Hire.” </w:t>
      </w:r>
      <w:r w:rsidRPr="00E4694B">
        <w:rPr>
          <w:rFonts w:ascii="Times New Roman" w:hAnsi="Times New Roman" w:cs="Times New Roman"/>
          <w:i/>
        </w:rPr>
        <w:t>ABC Action News WFTS.</w:t>
      </w:r>
    </w:p>
  </w:endnote>
  <w:endnote w:id="11">
    <w:p w:rsidRPr="00E4694B" w:rsidR="00A75812" w:rsidP="00A75812" w:rsidRDefault="00A75812" w14:paraId="60D6DC53"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Gillman, Ngo, Barragan. Calls Grow for “Red Flag” Gun Laws After El Paso Massacre, but Shooter Didn’t Set Off Alarms.” </w:t>
      </w:r>
      <w:r w:rsidRPr="00E4694B">
        <w:rPr>
          <w:rFonts w:ascii="Times New Roman" w:hAnsi="Times New Roman" w:cs="Times New Roman"/>
          <w:i/>
          <w:iCs/>
        </w:rPr>
        <w:t>The Dallas Morning News.</w:t>
      </w:r>
    </w:p>
  </w:endnote>
  <w:endnote w:id="12">
    <w:p w:rsidRPr="00E4694B" w:rsidR="00A75812" w:rsidP="00A75812" w:rsidRDefault="00A75812" w14:paraId="2DCF54F0"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Brown, Ruth. “Texas School Shooting Suspect Backed Out of Suicide: Governor.” </w:t>
      </w:r>
      <w:r w:rsidRPr="00E4694B">
        <w:rPr>
          <w:rFonts w:ascii="Times New Roman" w:hAnsi="Times New Roman" w:cs="Times New Roman"/>
          <w:i/>
        </w:rPr>
        <w:t>New York Post</w:t>
      </w:r>
    </w:p>
  </w:endnote>
  <w:endnote w:id="13">
    <w:p w:rsidRPr="00E4694B" w:rsidR="00A75812" w:rsidP="00A75812" w:rsidRDefault="00A75812" w14:paraId="05FA4D8A" w14:textId="77777777">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Ormseth, Fry, Nelson, Shalby, Winton, Tchekmedyian. “Disturbing Portrait Emerges of Gilroy Garlic Festival Shooter.” </w:t>
      </w:r>
      <w:r w:rsidRPr="00E4694B">
        <w:rPr>
          <w:rFonts w:ascii="Times New Roman" w:hAnsi="Times New Roman" w:cs="Times New Roman"/>
          <w:i/>
          <w:iCs/>
        </w:rPr>
        <w:t>Los Angeles Times.</w:t>
      </w:r>
    </w:p>
  </w:endnote>
  <w:endnote w:id="14">
    <w:p w:rsidRPr="00E4694B" w:rsidR="00A75812" w:rsidP="00A75812" w:rsidRDefault="00A75812" w14:paraId="6E7D4C25" w14:textId="77777777">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Davis, Parvini, Jones, Chang. “Motivated by Hate, Gunman Kills One and Wounds Three in Synagogue Attack, Police Say.” </w:t>
      </w:r>
      <w:r w:rsidRPr="00E4694B">
        <w:rPr>
          <w:rFonts w:ascii="Times New Roman" w:hAnsi="Times New Roman" w:cs="Times New Roman"/>
          <w:i/>
          <w:iCs/>
        </w:rPr>
        <w:t>Los Angeles Times.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8ED" w:rsidR="0041353C" w:rsidP="007351A5" w:rsidRDefault="00000000" w14:paraId="6F784962" w14:textId="77777777">
    <w:pPr>
      <w:rPr>
        <w:rFonts w:ascii="Times New Roman" w:hAnsi="Times New Roman" w:cs="Times New Roman"/>
        <w:color w:val="595959"/>
      </w:rPr>
    </w:pPr>
    <w:r w:rsidRPr="005158ED">
      <w:rPr>
        <w:rFonts w:ascii="Times New Roman" w:hAnsi="Times New Roman" w:cs="Times New Roman"/>
        <w:color w:val="595959"/>
      </w:rPr>
      <w:t>8001 Forbes Place</w:t>
    </w:r>
    <w:r w:rsidRPr="005158ED">
      <w:rPr>
        <w:color w:val="595959"/>
      </w:rPr>
      <w:t xml:space="preserve"> </w:t>
    </w:r>
    <w:r w:rsidRPr="005158ED">
      <w:rPr>
        <w:rFonts w:ascii="Times New Roman" w:hAnsi="Symbol" w:eastAsia="Times New Roman" w:cs="Times New Roman"/>
        <w:color w:val="595959"/>
        <w:sz w:val="24"/>
        <w:szCs w:val="24"/>
      </w:rPr>
      <w:t></w:t>
    </w:r>
    <w:r w:rsidRPr="005158ED">
      <w:rPr>
        <w:rFonts w:ascii="Times New Roman" w:hAnsi="Symbol" w:eastAsia="Times New Roman" w:cs="Times New Roman"/>
        <w:color w:val="595959"/>
        <w:sz w:val="24"/>
        <w:szCs w:val="24"/>
      </w:rPr>
      <w:t xml:space="preserve"> </w:t>
    </w:r>
    <w:r w:rsidRPr="005158ED">
      <w:rPr>
        <w:rFonts w:ascii="Times New Roman" w:hAnsi="Times New Roman" w:cs="Times New Roman"/>
        <w:color w:val="595959"/>
      </w:rPr>
      <w:t>Suite 202</w:t>
    </w:r>
    <w:r w:rsidRPr="005158ED">
      <w:rPr>
        <w:color w:val="595959"/>
      </w:rPr>
      <w:t xml:space="preserve"> </w:t>
    </w:r>
    <w:r w:rsidRPr="005158ED">
      <w:rPr>
        <w:rFonts w:ascii="Times New Roman" w:hAnsi="Symbol" w:eastAsia="Times New Roman" w:cs="Times New Roman"/>
        <w:color w:val="595959"/>
        <w:sz w:val="24"/>
        <w:szCs w:val="24"/>
      </w:rPr>
      <w:t></w:t>
    </w:r>
    <w:r w:rsidRPr="005158ED">
      <w:rPr>
        <w:color w:val="595959"/>
      </w:rPr>
      <w:t xml:space="preserve"> </w:t>
    </w:r>
    <w:r w:rsidRPr="005158ED">
      <w:rPr>
        <w:rFonts w:ascii="Times New Roman" w:hAnsi="Times New Roman" w:cs="Times New Roman"/>
        <w:color w:val="595959"/>
      </w:rPr>
      <w:t>Springfield VA, 22151</w:t>
    </w:r>
    <w:r w:rsidRPr="005158ED">
      <w:rPr>
        <w:color w:val="595959"/>
      </w:rPr>
      <w:t xml:space="preserve"> </w:t>
    </w:r>
    <w:r w:rsidRPr="005158ED">
      <w:rPr>
        <w:rFonts w:ascii="Times New Roman" w:hAnsi="Symbol" w:eastAsia="Times New Roman" w:cs="Times New Roman"/>
        <w:color w:val="595959"/>
        <w:sz w:val="24"/>
        <w:szCs w:val="24"/>
      </w:rPr>
      <w:t></w:t>
    </w:r>
    <w:r w:rsidRPr="005158ED">
      <w:rPr>
        <w:color w:val="595959"/>
      </w:rPr>
      <w:t xml:space="preserve"> </w:t>
    </w:r>
    <w:r w:rsidRPr="005158ED">
      <w:rPr>
        <w:rFonts w:ascii="Times New Roman" w:hAnsi="Times New Roman" w:cs="Times New Roman"/>
        <w:color w:val="595959"/>
      </w:rPr>
      <w:t>703-321-8</w:t>
    </w:r>
    <w:r>
      <w:rPr>
        <w:rFonts w:ascii="Times New Roman" w:hAnsi="Times New Roman" w:cs="Times New Roman"/>
        <w:color w:val="595959"/>
      </w:rPr>
      <w:t>585</w:t>
    </w:r>
    <w:r w:rsidRPr="005158ED">
      <w:rPr>
        <w:color w:val="595959"/>
      </w:rPr>
      <w:t xml:space="preserve"> </w:t>
    </w:r>
    <w:r w:rsidRPr="005158ED">
      <w:rPr>
        <w:rFonts w:ascii="Times New Roman" w:hAnsi="Symbol" w:eastAsia="Times New Roman" w:cs="Times New Roman"/>
        <w:color w:val="595959"/>
        <w:sz w:val="24"/>
        <w:szCs w:val="24"/>
      </w:rPr>
      <w:t></w:t>
    </w:r>
    <w:r w:rsidRPr="005158ED">
      <w:rPr>
        <w:color w:val="595959"/>
      </w:rPr>
      <w:t xml:space="preserve"> </w:t>
    </w:r>
    <w:r w:rsidRPr="005158ED">
      <w:rPr>
        <w:rFonts w:ascii="Times New Roman" w:hAnsi="Times New Roman" w:cs="Times New Roman"/>
        <w:color w:val="595959"/>
      </w:rPr>
      <w:t>https://www.gunowners.org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358" w:rsidP="00A75812" w:rsidRDefault="003D7358" w14:paraId="54490DBE" w14:textId="77777777">
      <w:r>
        <w:separator/>
      </w:r>
    </w:p>
  </w:footnote>
  <w:footnote w:type="continuationSeparator" w:id="0">
    <w:p w:rsidR="003D7358" w:rsidP="00A75812" w:rsidRDefault="003D7358" w14:paraId="6CC952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75812" w:rsidRDefault="00A75812" w14:paraId="33817D40" w14:textId="529797EF">
    <w:pPr>
      <w:pStyle w:val="Header"/>
    </w:pPr>
    <w:r w:rsidRPr="00664977">
      <w:rPr>
        <w:rFonts w:ascii="Times New Roman" w:hAnsi="Times New Roman" w:eastAsia="Times New Roman" w:cs="Times New Roman"/>
        <w:noProof/>
        <w:color w:val="000000"/>
        <w:sz w:val="96"/>
        <w:szCs w:val="96"/>
        <w:u w:val="thick" w:color="000000"/>
      </w:rPr>
      <w:drawing>
        <wp:inline distT="0" distB="0" distL="0" distR="0" wp14:anchorId="1CAC7D93" wp14:editId="2DBBB566">
          <wp:extent cx="5943600" cy="82296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C7BD1"/>
    <w:multiLevelType w:val="hybridMultilevel"/>
    <w:tmpl w:val="9A52B808"/>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511268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12"/>
    <w:rsid w:val="003D7358"/>
    <w:rsid w:val="004B74B8"/>
    <w:rsid w:val="00A75812"/>
    <w:rsid w:val="00DA7A58"/>
    <w:rsid w:val="00E63216"/>
    <w:rsid w:val="4D58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E2E8"/>
  <w15:chartTrackingRefBased/>
  <w15:docId w15:val="{E2B00F85-8D2C-4B00-90FE-EF6ADEABE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5812"/>
    <w:pPr>
      <w:spacing w:after="0" w:line="240" w:lineRule="auto"/>
    </w:pPr>
    <w:rPr>
      <w:rFonts w:ascii="Calibri" w:hAnsi="Calibri" w:eastAsia="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5812"/>
    <w:pPr>
      <w:tabs>
        <w:tab w:val="center" w:pos="4680"/>
        <w:tab w:val="right" w:pos="9360"/>
      </w:tabs>
    </w:pPr>
  </w:style>
  <w:style w:type="character" w:styleId="HeaderChar" w:customStyle="1">
    <w:name w:val="Header Char"/>
    <w:basedOn w:val="DefaultParagraphFont"/>
    <w:link w:val="Header"/>
    <w:uiPriority w:val="99"/>
    <w:rsid w:val="00A75812"/>
    <w:rPr>
      <w:rFonts w:ascii="Calibri" w:hAnsi="Calibri" w:eastAsia="Calibri" w:cs="Calibri"/>
      <w:kern w:val="0"/>
      <w14:ligatures w14:val="none"/>
    </w:rPr>
  </w:style>
  <w:style w:type="paragraph" w:styleId="EndnoteText">
    <w:name w:val="endnote text"/>
    <w:basedOn w:val="Normal"/>
    <w:link w:val="EndnoteTextChar"/>
    <w:uiPriority w:val="99"/>
    <w:semiHidden/>
    <w:unhideWhenUsed/>
    <w:rsid w:val="00A75812"/>
    <w:rPr>
      <w:sz w:val="20"/>
      <w:szCs w:val="20"/>
    </w:rPr>
  </w:style>
  <w:style w:type="character" w:styleId="EndnoteTextChar" w:customStyle="1">
    <w:name w:val="Endnote Text Char"/>
    <w:basedOn w:val="DefaultParagraphFont"/>
    <w:link w:val="EndnoteText"/>
    <w:uiPriority w:val="99"/>
    <w:semiHidden/>
    <w:rsid w:val="00A75812"/>
    <w:rPr>
      <w:rFonts w:ascii="Calibri" w:hAnsi="Calibri" w:eastAsia="Calibri" w:cs="Calibri"/>
      <w:kern w:val="0"/>
      <w:sz w:val="20"/>
      <w:szCs w:val="20"/>
      <w14:ligatures w14:val="none"/>
    </w:rPr>
  </w:style>
  <w:style w:type="character" w:styleId="EndnoteReference">
    <w:name w:val="endnote reference"/>
    <w:uiPriority w:val="99"/>
    <w:semiHidden/>
    <w:unhideWhenUsed/>
    <w:rsid w:val="00A75812"/>
    <w:rPr>
      <w:vertAlign w:val="superscript"/>
    </w:rPr>
  </w:style>
  <w:style w:type="paragraph" w:styleId="Footer">
    <w:name w:val="footer"/>
    <w:basedOn w:val="Normal"/>
    <w:link w:val="FooterChar"/>
    <w:uiPriority w:val="99"/>
    <w:unhideWhenUsed/>
    <w:rsid w:val="00A75812"/>
    <w:pPr>
      <w:tabs>
        <w:tab w:val="center" w:pos="4680"/>
        <w:tab w:val="right" w:pos="9360"/>
      </w:tabs>
    </w:pPr>
  </w:style>
  <w:style w:type="character" w:styleId="FooterChar" w:customStyle="1">
    <w:name w:val="Footer Char"/>
    <w:basedOn w:val="DefaultParagraphFont"/>
    <w:link w:val="Footer"/>
    <w:uiPriority w:val="99"/>
    <w:rsid w:val="00A75812"/>
    <w:rPr>
      <w:rFonts w:ascii="Calibri" w:hAnsi="Calibri" w:eastAsia="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6C66152E47D41A371313EBC3DFB5F" ma:contentTypeVersion="11" ma:contentTypeDescription="Create a new document." ma:contentTypeScope="" ma:versionID="be3fc6e806b8462f92bc9c5fede1b9be">
  <xsd:schema xmlns:xsd="http://www.w3.org/2001/XMLSchema" xmlns:xs="http://www.w3.org/2001/XMLSchema" xmlns:p="http://schemas.microsoft.com/office/2006/metadata/properties" xmlns:ns2="00f3a6dd-2498-4237-92a2-ff9b14686071" xmlns:ns3="2df74ffe-45a5-4ca7-93dd-c06055865e94" targetNamespace="http://schemas.microsoft.com/office/2006/metadata/properties" ma:root="true" ma:fieldsID="ecc7f37df4257e9da994b16edfb9bb21" ns2:_="" ns3:_="">
    <xsd:import namespace="00f3a6dd-2498-4237-92a2-ff9b14686071"/>
    <xsd:import namespace="2df74ffe-45a5-4ca7-93dd-c06055865e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a6dd-2498-4237-92a2-ff9b1468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475e63-5367-4e6c-ba9f-e160521797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74ffe-45a5-4ca7-93dd-c06055865e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9f042a-e559-48d9-9bb3-423d4624655b}" ma:internalName="TaxCatchAll" ma:showField="CatchAllData" ma:web="2df74ffe-45a5-4ca7-93dd-c06055865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f3a6dd-2498-4237-92a2-ff9b14686071">
      <Terms xmlns="http://schemas.microsoft.com/office/infopath/2007/PartnerControls"/>
    </lcf76f155ced4ddcb4097134ff3c332f>
    <TaxCatchAll xmlns="2df74ffe-45a5-4ca7-93dd-c06055865e94" xsi:nil="true"/>
  </documentManagement>
</p:properties>
</file>

<file path=customXml/itemProps1.xml><?xml version="1.0" encoding="utf-8"?>
<ds:datastoreItem xmlns:ds="http://schemas.openxmlformats.org/officeDocument/2006/customXml" ds:itemID="{85D09305-AAB7-430C-B9E5-442E4974BB93}"/>
</file>

<file path=customXml/itemProps2.xml><?xml version="1.0" encoding="utf-8"?>
<ds:datastoreItem xmlns:ds="http://schemas.openxmlformats.org/officeDocument/2006/customXml" ds:itemID="{57453BE6-1B98-40AB-BAF1-B74A899B6711}">
  <ds:schemaRefs>
    <ds:schemaRef ds:uri="http://schemas.microsoft.com/sharepoint/v3/contenttype/forms"/>
  </ds:schemaRefs>
</ds:datastoreItem>
</file>

<file path=customXml/itemProps3.xml><?xml version="1.0" encoding="utf-8"?>
<ds:datastoreItem xmlns:ds="http://schemas.openxmlformats.org/officeDocument/2006/customXml" ds:itemID="{206AB7C8-C338-477B-89F8-B67AB6417F23}">
  <ds:schemaRefs>
    <ds:schemaRef ds:uri="http://schemas.microsoft.com/office/2006/metadata/properties"/>
    <ds:schemaRef ds:uri="http://schemas.microsoft.com/office/infopath/2007/PartnerControls"/>
    <ds:schemaRef ds:uri="00f3a6dd-2498-4237-92a2-ff9b14686071"/>
    <ds:schemaRef ds:uri="2df74ffe-45a5-4ca7-93dd-c06055865e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Jordan Stein</dc:creator>
  <keywords/>
  <dc:description/>
  <lastModifiedBy>Michael Csencsits</lastModifiedBy>
  <revision>5</revision>
  <dcterms:created xsi:type="dcterms:W3CDTF">2023-07-18T13:09:00.0000000Z</dcterms:created>
  <dcterms:modified xsi:type="dcterms:W3CDTF">2023-07-18T14:27:27.2016681Z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0x0101009B06C66152E47D41A371313EBC3DFB5F</vt:lpwstr>
  </property>
  <property fmtid="{D5CDD505-2E9C-101B-9397-08002B2CF9AE}" pid="3" name="MediaServiceImageTags">
    <vt:lpwstr/>
  </property>
</Properties>
</file>